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>
        <w:rPr>
          <w:rFonts w:ascii="ProximaNovaRegular" w:eastAsia="Times New Roman" w:hAnsi="ProximaNovaRegular" w:cs="Times New Roman"/>
          <w:color w:val="696969"/>
          <w:lang w:eastAsia="hu-HU"/>
        </w:rPr>
        <w:t>TISZTE</w:t>
      </w:r>
      <w:r w:rsidR="006C422D">
        <w:rPr>
          <w:rFonts w:ascii="ProximaNovaRegular" w:eastAsia="Times New Roman" w:hAnsi="ProximaNovaRegular" w:cs="Times New Roman"/>
          <w:color w:val="696969"/>
          <w:lang w:eastAsia="hu-HU"/>
        </w:rPr>
        <w:t>LT ÜGYFELEK!</w:t>
      </w:r>
    </w:p>
    <w:p w:rsidR="00D86554" w:rsidRDefault="006C422D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>
        <w:rPr>
          <w:rFonts w:ascii="ProximaNovaRegular" w:eastAsia="Times New Roman" w:hAnsi="ProximaNovaRegular" w:cs="Times New Roman"/>
          <w:color w:val="696969"/>
          <w:lang w:eastAsia="hu-HU"/>
        </w:rPr>
        <w:t>Tájékoztató</w:t>
      </w:r>
      <w:r w:rsidR="001D140C">
        <w:rPr>
          <w:rFonts w:ascii="ProximaNovaRegular" w:eastAsia="Times New Roman" w:hAnsi="ProximaNovaRegular" w:cs="Times New Roman"/>
          <w:color w:val="696969"/>
          <w:lang w:eastAsia="hu-HU"/>
        </w:rPr>
        <w:t xml:space="preserve"> a nonprofit gazdasági társaságo</w:t>
      </w:r>
      <w:r>
        <w:rPr>
          <w:rFonts w:ascii="ProximaNovaRegular" w:eastAsia="Times New Roman" w:hAnsi="ProximaNovaRegular" w:cs="Times New Roman"/>
          <w:color w:val="696969"/>
          <w:lang w:eastAsia="hu-HU"/>
        </w:rPr>
        <w:t>kr</w:t>
      </w:r>
      <w:r w:rsidR="00DB2C5E">
        <w:rPr>
          <w:rFonts w:ascii="ProximaNovaRegular" w:eastAsia="Times New Roman" w:hAnsi="ProximaNovaRegular" w:cs="Times New Roman"/>
          <w:color w:val="696969"/>
          <w:lang w:eastAsia="hu-HU"/>
        </w:rPr>
        <w:t>ól</w:t>
      </w:r>
      <w:r w:rsidR="001D140C">
        <w:rPr>
          <w:rFonts w:ascii="ProximaNovaRegular" w:eastAsia="Times New Roman" w:hAnsi="ProximaNovaRegular" w:cs="Times New Roman"/>
          <w:color w:val="696969"/>
          <w:lang w:eastAsia="hu-HU"/>
        </w:rPr>
        <w:t>!</w:t>
      </w:r>
    </w:p>
    <w:p w:rsid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nonprofit gazdasági társaságok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ról a legtöbb szakirodalom nem „mesél”… A normál társaságok közül kilógnak a sorból a miatt, mert elvileg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nem eredményorientáltak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a civilekhez pedig azért nem tartoznak igazán, mert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társasági jogi konzekvenciák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vonatkoznak rájuk. Ennek okán járjuk kicsit körbe ezeket a gazdasági társaságokat, első körben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jogi oldalukró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l!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Bármely társasági forma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létrehozható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nonprofit gazdasági társaságként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: így lehet közöttük betéti társaság, korlátolt felelősségű társaság is. Főszabályként az adott társasági formára jellemző társasági jogi szabályokat kell betartani az alapításukkor.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fő különbség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 xml:space="preserve"> a </w:t>
      </w:r>
      <w:proofErr w:type="spellStart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for</w:t>
      </w:r>
      <w:proofErr w:type="spellEnd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 xml:space="preserve"> profit szférához képest, hogy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eredményüket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eredménytartalékukat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nem oszthatják fel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azt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osztalékként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– az őt létrehozó tagok részére – még megszűnés esetén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sem szabad kifizetni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! A létrehozásukat célzó részletjogszabályok nem az új Polgári Törvénykönyvben, hanem a kapcsolódó Cégtörvényben találjuk.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A cégnyilvánosságról, a bírósági cégeljárásról és a végelszámolásról szóló 2006. évi V. törvény (</w:t>
      </w:r>
      <w:proofErr w:type="spellStart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fldChar w:fldCharType="begin"/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instrText xml:space="preserve"> HYPERLINK "http://njt.hu/cgi_bin/njt_doc.cgi?docid=101684.314710" \t "_blank" </w:instrTex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fldChar w:fldCharType="separate"/>
      </w:r>
      <w:r w:rsidRPr="00D86554">
        <w:rPr>
          <w:rFonts w:ascii="ProximaNovaRegular" w:eastAsia="Times New Roman" w:hAnsi="ProximaNovaRegular" w:cs="Times New Roman"/>
          <w:color w:val="439DCB"/>
          <w:u w:val="single"/>
          <w:lang w:eastAsia="hu-HU"/>
        </w:rPr>
        <w:t>Ctv</w:t>
      </w:r>
      <w:proofErr w:type="spellEnd"/>
      <w:r w:rsidRPr="00D86554">
        <w:rPr>
          <w:rFonts w:ascii="ProximaNovaRegular" w:eastAsia="Times New Roman" w:hAnsi="ProximaNovaRegular" w:cs="Times New Roman"/>
          <w:color w:val="439DCB"/>
          <w:u w:val="single"/>
          <w:lang w:eastAsia="hu-HU"/>
        </w:rPr>
        <w:t>.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fldChar w:fldCharType="end"/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) 9/F. § szakasz az alábbi bekezdéseket tartalmazza: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t>„(1) A gazdasági társaság nonprofit jellegét a cégnévben a társasági forma megjelölésénél fel kell tüntetni.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t>(2) Az a gazdasági társaság minősül nonprofit gazdasági társaságnak és cégnevében az a gazdasági társaság tüntetheti fel a nonprofit jelleget, amelynek létesítő okirata tartalmazza, hogy a gazdasági társaság tevékenységéből származó nyereség a tagok között nem osztható fel, hanem az a gazdasági társaság vagyonát gyarapítja.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t>(3) Nonprofit gazdasági társaság bármely társasági formában alapítható és működtethető. Nonprofit gazdasági társaság létrejöhet úgy is, hogy a cégnyilvántartásba bejegyzett gazdasági társaság legfőbb szerve elhatározza a nonprofit gazdasági társaságként való továbbműködést.”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Azon esetekben mikor a (3) bekezdés alapján működés közben határozza el egy társaság a nonprofittá válását,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változásbejegyzési kérelem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formájában teheti azt meg. Ez a gyakorlatban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nem jelent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átalakulást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ugyanakkor a kapcsolódó jogszabályi előírások figyelembe vétele miatt – például társasági adó, osztalékszabályok stb. – célszerűen készülnie egy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évközi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számviteli zárlatnak, évközi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beszámolónak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annak ellenére, hogy ennek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letétbe helyezési kötelezettsége nem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keletkezik.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Nagyon fontos tudni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kimutatni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ugyanis, hogy mekkora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eredménytartalék hányad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az, ami </w:t>
      </w:r>
      <w:proofErr w:type="spellStart"/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for</w:t>
      </w:r>
      <w:proofErr w:type="spellEnd"/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 xml:space="preserve"> profit szférából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 xml:space="preserve"> jön és ezt célszerű a főkönyvben külön főkönyvi számlán 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lastRenderedPageBreak/>
        <w:t>megjeleníteni. Szintén fontos kezelni – konkrét jogszabályi előírás hiányában, valahogy jogilag, legalább egy taggyűlési jegyzőkönyv formájában -, hogy mi is legyen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korábbi időszakban keletkezett eredménytartalék 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sorsa, ugyanis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ennek kifizetésére tiltó szabály nincs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. Amennyiben a tagok egyöntetűleg úgy határoznak, hogy a korábbi időszakban keletkezett eredménytartalékot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nonprofit cél érdekében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kívánják felhasználni, akkor osztani fogja a nonprofit időszak alatt keletkezett eredménytartalék sorsát.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Bár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jegyzett tőke emelés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problémáját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korlátolt felelősségű társaságoknál kitolták egy évvel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szerintem nem haszontalan pár szót ejteni róla.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Nonprofit gazdasági társaság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jegyzett tőke emelése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– véleményem szerint – általában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nem valósítható meg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annak felhalmozott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eredménytartalékából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 xml:space="preserve">, annak ellenére, hogy erre vonatkozólag konkrét jogszabályi előírás nincs, ugyanakkor a </w:t>
      </w:r>
      <w:proofErr w:type="spellStart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Ctv</w:t>
      </w:r>
      <w:proofErr w:type="spellEnd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. 9/F § (6) bekezdése szerint: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t>“Ha a közhasznú szervezetnek minősülő nonprofit gazdasági társaság jogutód nélkül megszűnik, a társaság tagjai részére a tartozások kiegyenlítése után csak a megszűnéskori saját tőke összege adható ki, legfeljebb a tagok vagyoni hányadának teljesítéskori értéke erejéig. Az ezt meghaladó vagyont a cégbíróság a létesítő okirat rendelkezései szerint fordítja közcélokra. Ilyen rendelkezés hiányában a fennmaradt vagyon a Nemzeti Együttműködési Alapot illeti.”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Fenti kitétel alapján az eredménytartalék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megszűnéskor sem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osztható vissza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illetve ennek terhére időközben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sem teljesíthető osztalékfizetés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. Eredménytartalékból emelt jegyzett tőke esetében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értékpapír juttatás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valósul meg, mely után a tagnak akkor keletkezik – keletkezhet –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adófizetési kötelezettsége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amikor az üzletrész elidegenítésre kerül, vagy a cég megszűnik.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Visszatérve azokra az esetekre, amikor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korábbi időszakban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– még a nonprofit lét előtt – keletkezik ilyen típusú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eredménytartalék,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akkor előfordulhat olyan eset, hogy használható lesz az eredménytartalék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jegyzett tőke emelésére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amennyiben erre vonatkozóan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más döntés a taggyűlésen nem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született. A gyakorlatban rendre elmarad az ez irányú döntés, mely – szerintem – nemcsak ebből a szempontból megfontolandó, de a későbbi adózási és gazdálkodási problémák elkerülése végett is szinte elengedhetetlen.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A nonprofit gazdasági társaságok – ha kifejezetten olyan céllal jönnek létre, melyhez közszolgáltatási szerződés megkötése szükséges – már akár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alakulásukkor is kérhetik a közhasznú státuszba sorolásukat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azzal az ígérvénnyel, hogy két év múlva – mindkét év tekintetében – teljesítik a közhasznúság feltételeként előírt mutatókat.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Mindezt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civil szervezet nem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 xml:space="preserve"> tehetik meg. Ők a közhasznú jogállásba vételüket kizárólag két év elteltével – a paramétereknek való megfelelés esetén – kérelmezhetik, még pedig a </w:t>
      </w:r>
      <w:proofErr w:type="spellStart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Ctv</w:t>
      </w:r>
      <w:proofErr w:type="spellEnd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. (nem pedig a Ptk.!!!) 9/F. § (5) bekezdése alapján: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lastRenderedPageBreak/>
        <w:t>„A nonprofit gazdasági társaság </w:t>
      </w:r>
      <w:hyperlink r:id="rId7" w:tgtFrame="_blank" w:history="1">
        <w:r w:rsidRPr="00D86554">
          <w:rPr>
            <w:rFonts w:ascii="ProximaNovaRegularItalic" w:eastAsia="Times New Roman" w:hAnsi="ProximaNovaRegularItalic" w:cs="Times New Roman"/>
            <w:color w:val="439DCB"/>
            <w:lang w:eastAsia="hu-HU"/>
          </w:rPr>
          <w:t>Civil tv.</w:t>
        </w:r>
      </w:hyperlink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t> (3)-(5) bekezdésétől eltérően a létrejöttét követően is kezdeményezheti közhasznú jogállásának megállapítását, amelyet a cégbíróság – a létesítő okiratban rögzített tartalmi követelmények elbírálását követően – nyilvántartásba vesz, ha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t>a) közszolgáltatási szerződést kötött és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Italic" w:eastAsia="Times New Roman" w:hAnsi="ProximaNovaRegularItalic" w:cs="Times New Roman"/>
          <w:color w:val="696969"/>
          <w:lang w:eastAsia="hu-HU"/>
        </w:rPr>
        <w:t>b) magánokiratban vállalja a Civil tv. szerinti közhasznúsági feltételek teljesítését.”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Tekintve, hogy a Civil tv. a közszolgáltatási szerződés megkötését már a közhasznú státusz meglétéhez köti, így ennek ígérvénye esetén – a csatolt magánokiratra alapozva – bejegyzésre kerül a cégbíróság által, és ennek ténye a cégkivonaton is megjelenik! Arra azért felhívom a figyelmet, hogy egy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nonprofittá átalakult gazdasági társaság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 xml:space="preserve"> – véleményem szerint – </w:t>
      </w:r>
      <w:proofErr w:type="spellStart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for</w:t>
      </w:r>
      <w:proofErr w:type="spellEnd"/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 xml:space="preserve"> profit “üzemmódba”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visszatérni nem tud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Azokban az esetekben, amikor egy nonprofit gazdasági társaság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korábban nem kérte a közhasznú jogállásba vételét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de most szüksége lenne rá, akkor a fent említett paraméterek fennállása esetén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kérheti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a közhasznú státuszba sorolását. Ebben az esetben a jövőre nézve is tehet ilyen nyilatkozatot.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Azon nonprofit gazdasági társaságok esetében, amelyek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kérték a közhasznú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besorolásukat és két év elteltével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mégsem teljesítik a paramétereket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automatikusan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visszaáll az eredeti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nem közhasznú jogállás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, annak minden esetleges pótlólagos adójogi következményével együtt is!</w:t>
      </w:r>
    </w:p>
    <w:p w:rsidR="00D86554" w:rsidRP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Felhívom a figyelmet, hogy a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nonprofit gazdasági társaságok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esetében – amennyiben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közhasznú jogállással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rendelkeznek – a beszámolójuk benyújtásával együtt a Civil tv. szerinti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közhasznúsági melléklet közzétételére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is kötelezettek. Azon nonprofit gazdasági társaság, aki közhasznú jogállását nem kérte, nem kell, hogy közzétegyen ilyen mellékletet. A Civil tv. keretein belül, a nonprofit gazdasági társaságnak kizárólag akkor kell bármely előírást teljesítenie, ha közhasznú jogállású és akkor is csak a szabályrendszer azon részét, ami a közhasznú szervezetekre vonatkozik.</w:t>
      </w:r>
    </w:p>
    <w:p w:rsidR="00D86554" w:rsidRDefault="00D86554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A nonprofit gazdasági társaság létesíthet természetesen ún.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származtatott jogi személyt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is, mely jogi személyével kapcsolatos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letétbe helyezési kötelezettségének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– meglátásom szerint – jelenleg egy módon,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a kiegészítő mellékletéhez csatolva,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 </w:t>
      </w:r>
      <w:r w:rsidRPr="00D86554">
        <w:rPr>
          <w:rFonts w:ascii="ProximaNovaSemibold" w:eastAsia="Times New Roman" w:hAnsi="ProximaNovaSemibold" w:cs="Times New Roman"/>
          <w:color w:val="696969"/>
          <w:lang w:eastAsia="hu-HU"/>
        </w:rPr>
        <w:t>tud eleget tenni</w:t>
      </w:r>
      <w:r w:rsidRPr="00D86554">
        <w:rPr>
          <w:rFonts w:ascii="ProximaNovaRegular" w:eastAsia="Times New Roman" w:hAnsi="ProximaNovaRegular" w:cs="Times New Roman"/>
          <w:color w:val="696969"/>
          <w:lang w:eastAsia="hu-HU"/>
        </w:rPr>
        <w:t>.</w:t>
      </w:r>
    </w:p>
    <w:p w:rsidR="008D3B49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>
        <w:rPr>
          <w:rFonts w:ascii="ProximaNovaRegular" w:eastAsia="Times New Roman" w:hAnsi="ProximaNovaRegular" w:cs="Times New Roman"/>
          <w:color w:val="696969"/>
          <w:lang w:eastAsia="hu-HU"/>
        </w:rPr>
        <w:t>A tájékoztat</w:t>
      </w:r>
      <w:r w:rsidR="001D140C">
        <w:rPr>
          <w:rFonts w:ascii="ProximaNovaRegular" w:eastAsia="Times New Roman" w:hAnsi="ProximaNovaRegular" w:cs="Times New Roman"/>
          <w:color w:val="696969"/>
          <w:lang w:eastAsia="hu-HU"/>
        </w:rPr>
        <w:t xml:space="preserve">ást megtalálható </w:t>
      </w:r>
      <w:r w:rsidR="001D140C" w:rsidRPr="001D140C">
        <w:rPr>
          <w:rFonts w:ascii="ProximaNovaRegular" w:eastAsia="Times New Roman" w:hAnsi="ProximaNovaRegular" w:cs="Times New Roman"/>
          <w:color w:val="696969"/>
          <w:lang w:eastAsia="hu-HU"/>
        </w:rPr>
        <w:t>https://www.adootlet.com/erdekessegek</w:t>
      </w:r>
    </w:p>
    <w:p w:rsidR="008D3B49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>
        <w:rPr>
          <w:rFonts w:ascii="ProximaNovaRegular" w:eastAsia="Times New Roman" w:hAnsi="ProximaNovaRegular" w:cs="Times New Roman"/>
          <w:color w:val="696969"/>
          <w:lang w:eastAsia="hu-HU"/>
        </w:rPr>
        <w:t xml:space="preserve">Amennyiben további kérdései </w:t>
      </w:r>
      <w:proofErr w:type="gramStart"/>
      <w:r>
        <w:rPr>
          <w:rFonts w:ascii="ProximaNovaRegular" w:eastAsia="Times New Roman" w:hAnsi="ProximaNovaRegular" w:cs="Times New Roman"/>
          <w:color w:val="696969"/>
          <w:lang w:eastAsia="hu-HU"/>
        </w:rPr>
        <w:t>vann</w:t>
      </w:r>
      <w:bookmarkStart w:id="0" w:name="_GoBack"/>
      <w:bookmarkEnd w:id="0"/>
      <w:r>
        <w:rPr>
          <w:rFonts w:ascii="ProximaNovaRegular" w:eastAsia="Times New Roman" w:hAnsi="ProximaNovaRegular" w:cs="Times New Roman"/>
          <w:color w:val="696969"/>
          <w:lang w:eastAsia="hu-HU"/>
        </w:rPr>
        <w:t>ak</w:t>
      </w:r>
      <w:proofErr w:type="gramEnd"/>
      <w:r>
        <w:rPr>
          <w:rFonts w:ascii="ProximaNovaRegular" w:eastAsia="Times New Roman" w:hAnsi="ProximaNovaRegular" w:cs="Times New Roman"/>
          <w:color w:val="696969"/>
          <w:lang w:eastAsia="hu-HU"/>
        </w:rPr>
        <w:t xml:space="preserve"> kérjen időpontot 06-45-425-203 telefonszámon.</w:t>
      </w:r>
    </w:p>
    <w:p w:rsidR="008D3B49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>
        <w:rPr>
          <w:rFonts w:ascii="ProximaNovaRegular" w:eastAsia="Times New Roman" w:hAnsi="ProximaNovaRegular" w:cs="Times New Roman"/>
          <w:color w:val="696969"/>
          <w:lang w:eastAsia="hu-HU"/>
        </w:rPr>
        <w:t>Záhony,2020. 11. 02.</w:t>
      </w:r>
    </w:p>
    <w:p w:rsidR="008D3B49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</w:p>
    <w:p w:rsidR="008D3B49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>
        <w:rPr>
          <w:rFonts w:ascii="ProximaNovaRegular" w:eastAsia="Times New Roman" w:hAnsi="ProximaNovaRegular" w:cs="Times New Roman"/>
          <w:color w:val="696969"/>
          <w:lang w:eastAsia="hu-HU"/>
        </w:rPr>
        <w:lastRenderedPageBreak/>
        <w:t xml:space="preserve"> </w:t>
      </w:r>
      <w:proofErr w:type="gramStart"/>
      <w:r>
        <w:rPr>
          <w:rFonts w:ascii="ProximaNovaRegular" w:eastAsia="Times New Roman" w:hAnsi="ProximaNovaRegular" w:cs="Times New Roman"/>
          <w:color w:val="696969"/>
          <w:lang w:eastAsia="hu-HU"/>
        </w:rPr>
        <w:t>Tisztelettel :</w:t>
      </w:r>
      <w:proofErr w:type="gramEnd"/>
      <w:r>
        <w:rPr>
          <w:rFonts w:ascii="ProximaNovaRegular" w:eastAsia="Times New Roman" w:hAnsi="ProximaNovaRegular" w:cs="Times New Roman"/>
          <w:color w:val="696969"/>
          <w:lang w:eastAsia="hu-HU"/>
        </w:rPr>
        <w:t xml:space="preserve"> Veres Ildikó</w:t>
      </w:r>
    </w:p>
    <w:p w:rsidR="008D3B49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</w:p>
    <w:p w:rsidR="008D3B49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</w:p>
    <w:p w:rsidR="008D3B49" w:rsidRPr="00D86554" w:rsidRDefault="008D3B49" w:rsidP="00D86554">
      <w:pPr>
        <w:shd w:val="clear" w:color="auto" w:fill="FFFFFF"/>
        <w:spacing w:after="240" w:line="315" w:lineRule="atLeast"/>
        <w:jc w:val="both"/>
        <w:rPr>
          <w:rFonts w:ascii="ProximaNovaRegular" w:eastAsia="Times New Roman" w:hAnsi="ProximaNovaRegular" w:cs="Times New Roman"/>
          <w:color w:val="696969"/>
          <w:lang w:eastAsia="hu-HU"/>
        </w:rPr>
      </w:pPr>
      <w:r>
        <w:rPr>
          <w:rFonts w:ascii="ProximaNovaRegular" w:eastAsia="Times New Roman" w:hAnsi="ProximaNovaRegular" w:cs="Times New Roman"/>
          <w:color w:val="696969"/>
          <w:lang w:eastAsia="hu-HU"/>
        </w:rPr>
        <w:t xml:space="preserve"> </w:t>
      </w:r>
    </w:p>
    <w:p w:rsidR="00D86554" w:rsidRPr="00D86554" w:rsidRDefault="00D86554" w:rsidP="00D86554">
      <w:pPr>
        <w:shd w:val="clear" w:color="auto" w:fill="FFFFFF"/>
        <w:spacing w:line="555" w:lineRule="atLeast"/>
        <w:rPr>
          <w:rFonts w:ascii="ProximaNovaSemibold" w:eastAsia="Times New Roman" w:hAnsi="ProximaNovaSemibold" w:cs="Times New Roman"/>
          <w:caps/>
          <w:color w:val="FFFFFF"/>
          <w:lang w:eastAsia="hu-HU"/>
        </w:rPr>
      </w:pPr>
      <w:r w:rsidRPr="00D86554">
        <w:rPr>
          <w:rFonts w:ascii="ProximaNovaSemibold" w:eastAsia="Times New Roman" w:hAnsi="ProximaNovaSemibold" w:cs="Times New Roman"/>
          <w:caps/>
          <w:color w:val="FFFFFF"/>
          <w:lang w:eastAsia="hu-HU"/>
        </w:rPr>
        <w:t>OSZD MEG MÁSOKKAL IS!</w:t>
      </w:r>
    </w:p>
    <w:p w:rsidR="00D86554" w:rsidRPr="00D86554" w:rsidRDefault="00D86554" w:rsidP="00D86554">
      <w:pPr>
        <w:numPr>
          <w:ilvl w:val="0"/>
          <w:numId w:val="1"/>
        </w:numPr>
        <w:shd w:val="clear" w:color="auto" w:fill="FFFFFF"/>
        <w:spacing w:line="555" w:lineRule="atLeast"/>
        <w:ind w:left="1020" w:right="600"/>
        <w:rPr>
          <w:rFonts w:ascii="ProximaNovaSemibold" w:eastAsia="Times New Roman" w:hAnsi="ProximaNovaSemibold" w:cs="Times New Roman"/>
          <w:caps/>
          <w:color w:val="FFFFFF"/>
          <w:lang w:eastAsia="hu-HU"/>
        </w:rPr>
      </w:pPr>
    </w:p>
    <w:p w:rsidR="00D86554" w:rsidRPr="00D86554" w:rsidRDefault="00D86554" w:rsidP="00D86554">
      <w:pPr>
        <w:numPr>
          <w:ilvl w:val="0"/>
          <w:numId w:val="1"/>
        </w:numPr>
        <w:shd w:val="clear" w:color="auto" w:fill="FFFFFF"/>
        <w:spacing w:line="555" w:lineRule="atLeast"/>
        <w:ind w:left="1020" w:right="600"/>
        <w:rPr>
          <w:rFonts w:ascii="ProximaNovaSemibold" w:eastAsia="Times New Roman" w:hAnsi="ProximaNovaSemibold" w:cs="Times New Roman"/>
          <w:caps/>
          <w:color w:val="FFFFFF"/>
          <w:lang w:eastAsia="hu-HU"/>
        </w:rPr>
      </w:pPr>
    </w:p>
    <w:p w:rsidR="002F7FE8" w:rsidRPr="00D86554" w:rsidRDefault="002F7FE8" w:rsidP="002F7FE8">
      <w:pPr>
        <w:shd w:val="clear" w:color="auto" w:fill="FFFFFF"/>
        <w:spacing w:line="555" w:lineRule="atLeast"/>
        <w:ind w:left="1020" w:right="600"/>
        <w:rPr>
          <w:rFonts w:ascii="ProximaNovaSemibold" w:eastAsia="Times New Roman" w:hAnsi="ProximaNovaSemibold" w:cs="Times New Roman"/>
          <w:caps/>
          <w:color w:val="FFFFFF"/>
          <w:lang w:eastAsia="hu-HU"/>
        </w:rPr>
      </w:pPr>
    </w:p>
    <w:p w:rsidR="00D86554" w:rsidRPr="00D86554" w:rsidRDefault="00D86554" w:rsidP="00D86554">
      <w:pPr>
        <w:shd w:val="clear" w:color="auto" w:fill="FFFFFF"/>
        <w:rPr>
          <w:rFonts w:ascii="ProximaNovaBold" w:eastAsia="Times New Roman" w:hAnsi="ProximaNovaBold" w:cs="Times New Roman"/>
          <w:caps/>
          <w:color w:val="FFFFFF"/>
          <w:sz w:val="18"/>
          <w:szCs w:val="18"/>
          <w:lang w:eastAsia="hu-HU"/>
        </w:rPr>
      </w:pPr>
      <w:r w:rsidRPr="00D86554">
        <w:rPr>
          <w:rFonts w:ascii="ProximaNovaBold" w:eastAsia="Times New Roman" w:hAnsi="ProximaNovaBold" w:cs="Times New Roman"/>
          <w:caps/>
          <w:color w:val="FFFFFF"/>
          <w:sz w:val="18"/>
          <w:szCs w:val="18"/>
          <w:lang w:eastAsia="hu-HU"/>
        </w:rPr>
        <w:t>HASONLÓ CIKKEK</w:t>
      </w:r>
    </w:p>
    <w:p w:rsidR="000F0BBC" w:rsidRDefault="000F0BBC"/>
    <w:sectPr w:rsidR="000F0B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FF" w:rsidRDefault="00EB0DFF" w:rsidP="001D140C">
      <w:r>
        <w:separator/>
      </w:r>
    </w:p>
  </w:endnote>
  <w:endnote w:type="continuationSeparator" w:id="0">
    <w:p w:rsidR="00EB0DFF" w:rsidRDefault="00EB0DFF" w:rsidP="001D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NovaRegular">
    <w:altName w:val="Cambria"/>
    <w:panose1 w:val="00000000000000000000"/>
    <w:charset w:val="00"/>
    <w:family w:val="roman"/>
    <w:notTrueType/>
    <w:pitch w:val="default"/>
  </w:font>
  <w:font w:name="ProximaNovaSemibold">
    <w:altName w:val="Cambria"/>
    <w:panose1 w:val="00000000000000000000"/>
    <w:charset w:val="00"/>
    <w:family w:val="roman"/>
    <w:notTrueType/>
    <w:pitch w:val="default"/>
  </w:font>
  <w:font w:name="ProximaNovaRegularItalic">
    <w:altName w:val="Arial"/>
    <w:panose1 w:val="00000000000000000000"/>
    <w:charset w:val="00"/>
    <w:family w:val="roman"/>
    <w:notTrueType/>
    <w:pitch w:val="default"/>
  </w:font>
  <w:font w:name="ProximaNov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FF" w:rsidRDefault="00EB0DFF" w:rsidP="001D140C">
      <w:r>
        <w:separator/>
      </w:r>
    </w:p>
  </w:footnote>
  <w:footnote w:type="continuationSeparator" w:id="0">
    <w:p w:rsidR="00EB0DFF" w:rsidRDefault="00EB0DFF" w:rsidP="001D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0C" w:rsidRPr="00453E2A" w:rsidRDefault="001D140C" w:rsidP="001D140C">
    <w:pPr>
      <w:pStyle w:val="lfej"/>
      <w:pBdr>
        <w:bottom w:val="single" w:sz="4" w:space="1" w:color="000000"/>
      </w:pBdr>
      <w:jc w:val="center"/>
      <w:rPr>
        <w:b/>
        <w:sz w:val="26"/>
      </w:rPr>
    </w:pPr>
    <w:r>
      <w:rPr>
        <w:b/>
        <w:sz w:val="26"/>
      </w:rPr>
      <w:t>ADÓ- ÖTLET Könyvelő és Könyvvizsgáló</w:t>
    </w:r>
    <w:r w:rsidRPr="00453E2A">
      <w:rPr>
        <w:b/>
        <w:sz w:val="26"/>
      </w:rPr>
      <w:t xml:space="preserve"> Korlátolt Felelősségű Társaság</w:t>
    </w:r>
  </w:p>
  <w:p w:rsidR="001D140C" w:rsidRPr="00453E2A" w:rsidRDefault="001D140C" w:rsidP="001D140C">
    <w:pPr>
      <w:pStyle w:val="lfej"/>
      <w:pBdr>
        <w:bottom w:val="single" w:sz="4" w:space="1" w:color="000000"/>
      </w:pBdr>
      <w:jc w:val="center"/>
      <w:rPr>
        <w:i/>
      </w:rPr>
    </w:pPr>
    <w:r w:rsidRPr="00453E2A">
      <w:rPr>
        <w:b/>
        <w:i/>
      </w:rPr>
      <w:t>Székhely:</w:t>
    </w:r>
    <w:r w:rsidRPr="00453E2A">
      <w:rPr>
        <w:b/>
      </w:rPr>
      <w:t xml:space="preserve"> 4625 Záhony Ady</w:t>
    </w:r>
    <w:r>
      <w:rPr>
        <w:b/>
      </w:rPr>
      <w:t xml:space="preserve"> E. </w:t>
    </w:r>
    <w:proofErr w:type="gramStart"/>
    <w:r>
      <w:rPr>
        <w:b/>
      </w:rPr>
      <w:t>u.</w:t>
    </w:r>
    <w:proofErr w:type="gramEnd"/>
    <w:r>
      <w:rPr>
        <w:b/>
      </w:rPr>
      <w:t xml:space="preserve"> 15.</w:t>
    </w:r>
    <w:r w:rsidRPr="00453E2A">
      <w:rPr>
        <w:b/>
      </w:rPr>
      <w:t xml:space="preserve"> </w:t>
    </w:r>
    <w:r w:rsidRPr="00453E2A">
      <w:rPr>
        <w:i/>
      </w:rPr>
      <w:t xml:space="preserve"> Cégjegyzékszám:</w:t>
    </w:r>
    <w:r>
      <w:rPr>
        <w:i/>
      </w:rPr>
      <w:t>15-09-063957</w:t>
    </w:r>
  </w:p>
  <w:p w:rsidR="001D140C" w:rsidRPr="00CB5096" w:rsidRDefault="001D140C" w:rsidP="001D140C">
    <w:pPr>
      <w:pStyle w:val="lfej"/>
      <w:pBdr>
        <w:bottom w:val="single" w:sz="4" w:space="1" w:color="000000"/>
      </w:pBdr>
      <w:rPr>
        <w:u w:val="single"/>
      </w:rPr>
    </w:pPr>
    <w:r>
      <w:rPr>
        <w:b/>
        <w:i/>
      </w:rPr>
      <w:t xml:space="preserve">   </w:t>
    </w:r>
    <w:r>
      <w:rPr>
        <w:i/>
      </w:rPr>
      <w:t>Tel/</w:t>
    </w:r>
    <w:r w:rsidRPr="00453E2A">
      <w:rPr>
        <w:i/>
      </w:rPr>
      <w:t>fax</w:t>
    </w:r>
    <w:proofErr w:type="gramStart"/>
    <w:r w:rsidRPr="00453E2A">
      <w:rPr>
        <w:i/>
      </w:rPr>
      <w:t xml:space="preserve">: </w:t>
    </w:r>
    <w:r>
      <w:rPr>
        <w:b/>
      </w:rPr>
      <w:t xml:space="preserve"> 06-45-425-203</w:t>
    </w:r>
    <w:proofErr w:type="gramEnd"/>
    <w:r w:rsidRPr="00453E2A">
      <w:rPr>
        <w:b/>
      </w:rPr>
      <w:t xml:space="preserve">     </w:t>
    </w:r>
    <w:r>
      <w:rPr>
        <w:b/>
      </w:rPr>
      <w:t xml:space="preserve">       </w:t>
    </w:r>
    <w:r w:rsidRPr="00453E2A">
      <w:rPr>
        <w:b/>
        <w:i/>
      </w:rPr>
      <w:t>Email:</w:t>
    </w:r>
    <w:r w:rsidRPr="00453E2A">
      <w:rPr>
        <w:b/>
      </w:rPr>
      <w:t xml:space="preserve"> </w:t>
    </w:r>
    <w:hyperlink r:id="rId1" w:history="1">
      <w:r w:rsidRPr="00B7444D">
        <w:rPr>
          <w:rStyle w:val="Hiperhivatkozs"/>
        </w:rPr>
        <w:t>adootlet@gmail.com</w:t>
      </w:r>
    </w:hyperlink>
    <w:r>
      <w:t xml:space="preserve">               </w:t>
    </w:r>
    <w:r w:rsidRPr="00CB5096">
      <w:rPr>
        <w:b/>
        <w:i/>
      </w:rPr>
      <w:t>Web:</w:t>
    </w:r>
    <w:r w:rsidRPr="00CB5096">
      <w:rPr>
        <w:b/>
      </w:rPr>
      <w:t xml:space="preserve"> </w:t>
    </w:r>
    <w:r>
      <w:rPr>
        <w:u w:val="single"/>
      </w:rPr>
      <w:t>adootlet.com</w:t>
    </w:r>
  </w:p>
  <w:p w:rsidR="001D140C" w:rsidRPr="001D140C" w:rsidRDefault="001D140C" w:rsidP="001D140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41D"/>
    <w:multiLevelType w:val="multilevel"/>
    <w:tmpl w:val="AB1A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147D"/>
    <w:multiLevelType w:val="multilevel"/>
    <w:tmpl w:val="59D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07B6A"/>
    <w:multiLevelType w:val="multilevel"/>
    <w:tmpl w:val="D0E0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90636"/>
    <w:multiLevelType w:val="multilevel"/>
    <w:tmpl w:val="0F2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24841"/>
    <w:multiLevelType w:val="multilevel"/>
    <w:tmpl w:val="337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54"/>
    <w:rsid w:val="000F0BBC"/>
    <w:rsid w:val="001D140C"/>
    <w:rsid w:val="0020031E"/>
    <w:rsid w:val="002F7FE8"/>
    <w:rsid w:val="006C422D"/>
    <w:rsid w:val="008D3B49"/>
    <w:rsid w:val="00D86554"/>
    <w:rsid w:val="00DB2C5E"/>
    <w:rsid w:val="00E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9A35-2C06-DD4F-8C34-09697B1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865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8655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5">
    <w:name w:val="heading 5"/>
    <w:basedOn w:val="Norml"/>
    <w:link w:val="Cmsor5Char"/>
    <w:uiPriority w:val="9"/>
    <w:qFormat/>
    <w:rsid w:val="00D8655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655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86554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D865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D86554"/>
    <w:rPr>
      <w:b/>
      <w:bCs/>
    </w:rPr>
  </w:style>
  <w:style w:type="character" w:styleId="Hiperhivatkozs">
    <w:name w:val="Hyperlink"/>
    <w:basedOn w:val="Bekezdsalapbettpusa"/>
    <w:unhideWhenUsed/>
    <w:rsid w:val="00D8655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D86554"/>
    <w:rPr>
      <w:i/>
      <w:iCs/>
    </w:rPr>
  </w:style>
  <w:style w:type="paragraph" w:customStyle="1" w:styleId="sharemail">
    <w:name w:val="share_mail"/>
    <w:basedOn w:val="Norml"/>
    <w:rsid w:val="00D8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customStyle="1" w:styleId="print">
    <w:name w:val="print"/>
    <w:basedOn w:val="Norml"/>
    <w:rsid w:val="00D8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D8655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D86554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D8655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D86554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menu-item">
    <w:name w:val="menu-item"/>
    <w:basedOn w:val="Norml"/>
    <w:rsid w:val="00D865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nhideWhenUsed/>
    <w:rsid w:val="001D14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D140C"/>
  </w:style>
  <w:style w:type="paragraph" w:styleId="llb">
    <w:name w:val="footer"/>
    <w:basedOn w:val="Norml"/>
    <w:link w:val="llbChar"/>
    <w:uiPriority w:val="99"/>
    <w:unhideWhenUsed/>
    <w:rsid w:val="001D14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091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4619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22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7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568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5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1F2F3"/>
                        <w:right w:val="none" w:sz="0" w:space="0" w:color="auto"/>
                      </w:divBdr>
                      <w:divsChild>
                        <w:div w:id="11068475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95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8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7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86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2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3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6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150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3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3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58288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jt.hu/cgi_bin/njt_doc.cgi?docid=139791.316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ootl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Felhasználó</cp:lastModifiedBy>
  <cp:revision>2</cp:revision>
  <dcterms:created xsi:type="dcterms:W3CDTF">2020-11-06T08:02:00Z</dcterms:created>
  <dcterms:modified xsi:type="dcterms:W3CDTF">2020-11-06T08:02:00Z</dcterms:modified>
</cp:coreProperties>
</file>